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境外投资企业存量权益登记表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ODI Existing Rights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外汇局（年度申报）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税务与财务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每年 9 月底前完成存量权益申报。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投资目的地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中方持股比例（%）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境外企业注册资本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期末资产总额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期末净资产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报告期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填报日期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